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A6F0" w14:textId="3CF7CA25"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 xml:space="preserve">もくじ　　　　　　　　　　　　　　　　　　　　　　　　　　　　　　　</w:t>
      </w:r>
      <w:r w:rsidRPr="008053B2">
        <w:rPr>
          <w:rFonts w:ascii="游明朝" w:eastAsia="游明朝" w:hAnsi="游明朝" w:cs="Arial"/>
          <w:color w:val="222222"/>
          <w:kern w:val="0"/>
          <w:sz w:val="24"/>
          <w:szCs w:val="24"/>
        </w:rPr>
        <w:t>１</w:t>
      </w:r>
    </w:p>
    <w:p w14:paraId="00C1245A"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0C9C3809" w14:textId="34B3731D"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巻頭言</w:t>
      </w:r>
      <w:r w:rsidRPr="008053B2">
        <w:rPr>
          <w:rFonts w:ascii="游明朝" w:eastAsia="游明朝" w:hAnsi="游明朝" w:cs="Arial"/>
          <w:color w:val="222222"/>
          <w:kern w:val="0"/>
          <w:sz w:val="24"/>
          <w:szCs w:val="24"/>
        </w:rPr>
        <w:t xml:space="preserve">　　　　　　　　　　　　　　　　　　　　　　　　　　　　　　　２</w:t>
      </w:r>
    </w:p>
    <w:p w14:paraId="601E729B"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0B1F98A3" w14:textId="5E66F342"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 xml:space="preserve">第１編　　比較法　　　　　　　　　　　　　　　　　　　　　　　　　　</w:t>
      </w:r>
      <w:r w:rsidRPr="008053B2">
        <w:rPr>
          <w:rFonts w:ascii="游明朝" w:eastAsia="游明朝" w:hAnsi="游明朝" w:cs="Arial"/>
          <w:color w:val="222222"/>
          <w:kern w:val="0"/>
          <w:sz w:val="24"/>
          <w:szCs w:val="24"/>
        </w:rPr>
        <w:t>３</w:t>
      </w:r>
    </w:p>
    <w:p w14:paraId="562F6BCC"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74474EFE"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調査報告</w:t>
      </w:r>
      <w:r w:rsidRPr="008053B2">
        <w:rPr>
          <w:rFonts w:ascii="游明朝" w:eastAsia="游明朝" w:hAnsi="游明朝" w:cs="Arial"/>
          <w:color w:val="222222"/>
          <w:kern w:val="0"/>
          <w:sz w:val="24"/>
          <w:szCs w:val="24"/>
        </w:rPr>
        <w:t xml:space="preserve">　　　</w:t>
      </w:r>
      <w:r w:rsidRPr="008053B2">
        <w:rPr>
          <w:rFonts w:ascii="游明朝" w:eastAsia="游明朝" w:hAnsi="游明朝" w:cs="Arial"/>
          <w:b/>
          <w:bCs/>
          <w:color w:val="222222"/>
          <w:kern w:val="0"/>
          <w:sz w:val="24"/>
          <w:szCs w:val="24"/>
        </w:rPr>
        <w:t>オーストラリア後見法における後見人の無報酬原則について</w:t>
      </w:r>
    </w:p>
    <w:p w14:paraId="6EAE56F7"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Non-Remuneration Principle for Guardians in Australian Guardianship Laws</w:t>
      </w:r>
    </w:p>
    <w:p w14:paraId="314B22C4" w14:textId="2E8F0A83" w:rsidR="008053B2" w:rsidRPr="008053B2" w:rsidRDefault="008053B2" w:rsidP="008053B2">
      <w:pPr>
        <w:widowControl/>
        <w:shd w:val="clear" w:color="auto" w:fill="FFFFFF"/>
        <w:ind w:firstLine="6090"/>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櫻井幸男　　　　　３</w:t>
      </w:r>
    </w:p>
    <w:p w14:paraId="2A81755F"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438091E2"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研究ノート</w:t>
      </w:r>
      <w:r w:rsidRPr="008053B2">
        <w:rPr>
          <w:rFonts w:ascii="游明朝" w:eastAsia="游明朝" w:hAnsi="游明朝" w:cs="Arial"/>
          <w:color w:val="222222"/>
          <w:kern w:val="0"/>
          <w:sz w:val="24"/>
          <w:szCs w:val="24"/>
        </w:rPr>
        <w:t xml:space="preserve">　　　　</w:t>
      </w:r>
      <w:r w:rsidRPr="008053B2">
        <w:rPr>
          <w:rFonts w:ascii="游明朝" w:eastAsia="游明朝" w:hAnsi="游明朝" w:cs="Arial"/>
          <w:b/>
          <w:bCs/>
          <w:color w:val="222222"/>
          <w:kern w:val="0"/>
          <w:sz w:val="24"/>
          <w:szCs w:val="24"/>
        </w:rPr>
        <w:t>スコットランド精神保健法の改正提案</w:t>
      </w:r>
    </w:p>
    <w:p w14:paraId="366952CF"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～精神保健、後見、虐待防止の三法の包括的見直し～</w:t>
      </w:r>
    </w:p>
    <w:p w14:paraId="019AA286"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Proposed Amendments to the Scottish Mental Health Act:　Comprehensive review of the three laws of mental health, guardianship and abuse prevention</w:t>
      </w:r>
    </w:p>
    <w:p w14:paraId="2459A18F" w14:textId="648411A9" w:rsidR="008053B2" w:rsidRPr="008053B2" w:rsidRDefault="008053B2" w:rsidP="008053B2">
      <w:pPr>
        <w:widowControl/>
        <w:shd w:val="clear" w:color="auto" w:fill="FFFFFF"/>
        <w:ind w:firstLine="6090"/>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櫻井幸男　　　　16</w:t>
      </w:r>
    </w:p>
    <w:p w14:paraId="1D97AB3E"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5E9122A8"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翻訳・</w:t>
      </w:r>
      <w:r w:rsidRPr="008053B2">
        <w:rPr>
          <w:rFonts w:ascii="游明朝" w:eastAsia="游明朝" w:hAnsi="游明朝" w:cs="Arial"/>
          <w:color w:val="222222"/>
          <w:kern w:val="0"/>
          <w:sz w:val="24"/>
          <w:szCs w:val="24"/>
        </w:rPr>
        <w:t>ヴィントシャイト・法律行為の無効に関するナポレオン法典の理論について（</w:t>
      </w:r>
      <w:r w:rsidRPr="008053B2">
        <w:rPr>
          <w:rFonts w:ascii="Arial" w:eastAsia="ＭＳ Ｐゴシック" w:hAnsi="Arial" w:cs="Arial"/>
          <w:color w:val="222222"/>
          <w:kern w:val="0"/>
          <w:sz w:val="24"/>
          <w:szCs w:val="24"/>
          <w:lang w:val="de-DE"/>
        </w:rPr>
        <w:t>14</w:t>
      </w:r>
      <w:r w:rsidRPr="008053B2">
        <w:rPr>
          <w:rFonts w:ascii="游明朝" w:eastAsia="游明朝" w:hAnsi="游明朝" w:cs="Arial"/>
          <w:color w:val="222222"/>
          <w:kern w:val="0"/>
          <w:sz w:val="24"/>
          <w:szCs w:val="24"/>
        </w:rPr>
        <w:t>）</w:t>
      </w:r>
    </w:p>
    <w:p w14:paraId="00EB60E9" w14:textId="56BF191A"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lastRenderedPageBreak/>
        <w:t xml:space="preserve">　　　　　　　　　　　　　　　　　　　　　　　　　　　　田山　輝明</w:t>
      </w:r>
      <w:r>
        <w:rPr>
          <w:rFonts w:ascii="游明朝" w:eastAsia="游明朝" w:hAnsi="游明朝" w:cs="Arial" w:hint="eastAsia"/>
          <w:color w:val="222222"/>
          <w:kern w:val="0"/>
          <w:sz w:val="24"/>
          <w:szCs w:val="24"/>
        </w:rPr>
        <w:t xml:space="preserve">　</w:t>
      </w:r>
      <w:r w:rsidRPr="008053B2">
        <w:rPr>
          <w:rFonts w:ascii="游明朝" w:eastAsia="游明朝" w:hAnsi="游明朝" w:cs="Arial"/>
          <w:color w:val="222222"/>
          <w:kern w:val="0"/>
          <w:sz w:val="24"/>
          <w:szCs w:val="24"/>
          <w:lang w:val="de-DE"/>
        </w:rPr>
        <w:t>36</w:t>
      </w:r>
    </w:p>
    <w:p w14:paraId="60F18C94"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lang w:val="de-DE"/>
        </w:rPr>
        <w:t> </w:t>
      </w:r>
    </w:p>
    <w:p w14:paraId="2DAB03FA"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lang w:val="de-DE"/>
        </w:rPr>
        <w:t> </w:t>
      </w:r>
    </w:p>
    <w:p w14:paraId="14C45694" w14:textId="266E1F23"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 xml:space="preserve">第２編　　比較対象としての日本法上の諸問題　　　　　　　　　　　　　</w:t>
      </w:r>
      <w:r w:rsidRPr="008053B2">
        <w:rPr>
          <w:rFonts w:ascii="游明朝" w:eastAsia="游明朝" w:hAnsi="游明朝" w:cs="Arial"/>
          <w:color w:val="222222"/>
          <w:kern w:val="0"/>
          <w:sz w:val="24"/>
          <w:szCs w:val="24"/>
        </w:rPr>
        <w:t>58</w:t>
      </w:r>
    </w:p>
    <w:p w14:paraId="4B3A2D8D"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11F2667F" w14:textId="77777777" w:rsidR="008053B2" w:rsidRPr="008053B2" w:rsidRDefault="008053B2" w:rsidP="008053B2">
      <w:pPr>
        <w:widowControl/>
        <w:shd w:val="clear" w:color="auto" w:fill="FFFFFF"/>
        <w:ind w:left="6510" w:right="844"/>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成年後見制度の大幅見直し（2026年度）に向けて…</w:t>
      </w:r>
      <w:r w:rsidRPr="008053B2">
        <w:rPr>
          <w:rFonts w:ascii="游明朝" w:eastAsia="游明朝" w:hAnsi="游明朝" w:cs="Arial"/>
          <w:b/>
          <w:bCs/>
          <w:color w:val="222222"/>
          <w:kern w:val="0"/>
          <w:sz w:val="24"/>
          <w:szCs w:val="24"/>
        </w:rPr>
        <w:t xml:space="preserve">　</w:t>
      </w:r>
    </w:p>
    <w:p w14:paraId="1B52DBAC" w14:textId="77777777" w:rsidR="008053B2" w:rsidRPr="008053B2" w:rsidRDefault="008053B2" w:rsidP="008053B2">
      <w:pPr>
        <w:widowControl/>
        <w:shd w:val="clear" w:color="auto" w:fill="FFFFFF"/>
        <w:jc w:val="center"/>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後見人横領事件を原因とする国家賠償請求事件と家庭裁判所の監督機能</w:t>
      </w:r>
    </w:p>
    <w:p w14:paraId="54C21E8A" w14:textId="77777777" w:rsidR="008053B2" w:rsidRPr="008053B2" w:rsidRDefault="008053B2" w:rsidP="008053B2">
      <w:pPr>
        <w:widowControl/>
        <w:shd w:val="clear" w:color="auto" w:fill="FFFFFF"/>
        <w:jc w:val="center"/>
        <w:rPr>
          <w:rFonts w:ascii="Arial" w:eastAsia="ＭＳ Ｐゴシック" w:hAnsi="Arial" w:cs="Arial"/>
          <w:color w:val="222222"/>
          <w:kern w:val="0"/>
          <w:sz w:val="24"/>
          <w:szCs w:val="24"/>
        </w:rPr>
      </w:pPr>
      <w:r w:rsidRPr="008053B2">
        <w:rPr>
          <w:rFonts w:ascii="游明朝" w:eastAsia="游明朝" w:hAnsi="游明朝" w:cs="Arial"/>
          <w:b/>
          <w:bCs/>
          <w:color w:val="222222"/>
          <w:kern w:val="0"/>
          <w:sz w:val="24"/>
          <w:szCs w:val="24"/>
        </w:rPr>
        <w:t>～家庭裁判所における後見監督は「争訟の裁判」の対象なのか「行政作用」なのか～</w:t>
      </w:r>
    </w:p>
    <w:p w14:paraId="361A71CB" w14:textId="6D0EEC95"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xml:space="preserve">　　　　　　　　　　　　　　　　　　　　　　　　　　　伊東　康</w:t>
      </w:r>
      <w:r>
        <w:rPr>
          <w:rFonts w:ascii="游明朝" w:eastAsia="游明朝" w:hAnsi="游明朝" w:cs="Arial" w:hint="eastAsia"/>
          <w:color w:val="222222"/>
          <w:kern w:val="0"/>
          <w:sz w:val="24"/>
          <w:szCs w:val="24"/>
        </w:rPr>
        <w:t xml:space="preserve">江　</w:t>
      </w:r>
      <w:r w:rsidRPr="008053B2">
        <w:rPr>
          <w:rFonts w:ascii="游明朝" w:eastAsia="游明朝" w:hAnsi="游明朝" w:cs="Arial"/>
          <w:color w:val="222222"/>
          <w:kern w:val="0"/>
          <w:sz w:val="24"/>
          <w:szCs w:val="24"/>
        </w:rPr>
        <w:t> 58</w:t>
      </w:r>
    </w:p>
    <w:p w14:paraId="2F8C5489"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3593D2CD" w14:textId="77777777" w:rsidR="008053B2" w:rsidRPr="008053B2" w:rsidRDefault="008053B2" w:rsidP="008053B2">
      <w:pPr>
        <w:widowControl/>
        <w:shd w:val="clear" w:color="auto" w:fill="FFFFFF"/>
        <w:jc w:val="left"/>
        <w:rPr>
          <w:rFonts w:ascii="Arial" w:eastAsia="ＭＳ Ｐゴシック" w:hAnsi="Arial" w:cs="Arial"/>
          <w:color w:val="222222"/>
          <w:kern w:val="0"/>
          <w:sz w:val="24"/>
          <w:szCs w:val="24"/>
        </w:rPr>
      </w:pPr>
      <w:r w:rsidRPr="008053B2">
        <w:rPr>
          <w:rFonts w:ascii="游明朝" w:eastAsia="游明朝" w:hAnsi="游明朝" w:cs="Arial"/>
          <w:color w:val="222222"/>
          <w:kern w:val="0"/>
          <w:sz w:val="24"/>
          <w:szCs w:val="24"/>
        </w:rPr>
        <w:t> </w:t>
      </w:r>
    </w:p>
    <w:p w14:paraId="08E4B5D4" w14:textId="281AA617" w:rsidR="00EF5866" w:rsidRPr="008053B2" w:rsidRDefault="008053B2" w:rsidP="008053B2">
      <w:pPr>
        <w:widowControl/>
        <w:shd w:val="clear" w:color="auto" w:fill="FFFFFF"/>
        <w:jc w:val="left"/>
      </w:pPr>
      <w:r w:rsidRPr="008053B2">
        <w:rPr>
          <w:rFonts w:ascii="游明朝" w:eastAsia="游明朝" w:hAnsi="游明朝" w:cs="Arial"/>
          <w:b/>
          <w:bCs/>
          <w:color w:val="222222"/>
          <w:kern w:val="0"/>
          <w:sz w:val="24"/>
          <w:szCs w:val="24"/>
        </w:rPr>
        <w:t>編集後記</w:t>
      </w:r>
      <w:r w:rsidRPr="008053B2">
        <w:rPr>
          <w:rFonts w:ascii="游明朝" w:eastAsia="游明朝" w:hAnsi="游明朝" w:cs="Arial"/>
          <w:color w:val="222222"/>
          <w:kern w:val="0"/>
          <w:sz w:val="24"/>
          <w:szCs w:val="24"/>
        </w:rPr>
        <w:t xml:space="preserve">　　　　　　　　　　　　　　　　　　　　　　　　　　　　　101　</w:t>
      </w:r>
    </w:p>
    <w:sectPr w:rsidR="00EF5866" w:rsidRPr="008053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B2"/>
    <w:rsid w:val="00427F10"/>
    <w:rsid w:val="008053B2"/>
    <w:rsid w:val="00E802BF"/>
    <w:rsid w:val="00EF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701CA"/>
  <w15:chartTrackingRefBased/>
  <w15:docId w15:val="{BC87C74A-485A-4925-B24F-57FE1FF5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康久</dc:creator>
  <cp:keywords/>
  <dc:description/>
  <cp:lastModifiedBy>梶谷 康久</cp:lastModifiedBy>
  <cp:revision>1</cp:revision>
  <dcterms:created xsi:type="dcterms:W3CDTF">2023-05-26T05:01:00Z</dcterms:created>
  <dcterms:modified xsi:type="dcterms:W3CDTF">2023-05-26T05:05:00Z</dcterms:modified>
</cp:coreProperties>
</file>